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1428750" cy="361950"/>
            <wp:effectExtent t="0" r="0" b="0" l="0"/>
            <wp:docPr id="1" name="Logo" descr="Azimuth logo" title="Azim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vanish/>
          <w:color w:val="5E6663"/>
          <w:sz w:val="15"/>
          <w:szCs w:val="15"/>
        </w:rPr>
        <w:t xml:space="preserve">     Click the logo and choose Change Picture to use your school’s own.</w:t>
      </w:r>
    </w:p>
    <w:p>
      <w:pPr>
        <w:spacing w:after="80" w:before="300"/>
      </w:pPr>
      <w:r>
        <w:rPr>
          <w:b/>
          <w:bCs/>
          <w:color w:val="1F6E6A"/>
          <w:spacing w:val="10"/>
          <w:sz w:val="15"/>
          <w:szCs w:val="15"/>
        </w:rPr>
        <w:t xml:space="preserve">LEADERSHIP COACHING · PROFESSIONAL LEARNING TOOL</w:t>
      </w:r>
    </w:p>
    <w:p>
      <w:pPr>
        <w:spacing w:after="60"/>
      </w:pPr>
      <w:r>
        <w:rPr>
          <w:b/>
          <w:bCs/>
          <w:color w:val="1F2421"/>
          <w:sz w:val="52"/>
          <w:szCs w:val="52"/>
        </w:rPr>
        <w:t xml:space="preserve">Learning walk notes.</w:t>
      </w:r>
    </w:p>
    <w:p>
      <w:pPr>
        <w:spacing w:after="160"/>
      </w:pPr>
      <w:r>
        <w:rPr>
          <w:color w:val="5E6663"/>
          <w:sz w:val="24"/>
          <w:szCs w:val="24"/>
        </w:rPr>
        <w:t xml:space="preserve">A record of a few minutes in one lesson.</w:t>
      </w:r>
    </w:p>
    <w:p>
      <w:pPr>
        <w:spacing w:after="220" w:line="290"/>
      </w:pPr>
      <w:r>
        <w:rPr>
          <w:color w:val="1F2421"/>
          <w:sz w:val="20"/>
          <w:szCs w:val="20"/>
        </w:rPr>
        <w:t xml:space="preserve">Use this to record what you see during a short visit to a lesson. Over several visits the notes build into patterns, and those patterns are what you talk about with the teacher. Nothing on this sheet is a grade.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3232"/>
        <w:gridCol w:w="1700"/>
        <w:gridCol w:w="3232"/>
      </w:tblGrid>
      <w:tr>
        <w:trPr>
          <w:trHeight w:val="480" w:hRule="atLeast"/>
        </w:trPr>
        <w:tc>
          <w:tcPr>
            <w:tcW w:type="dxa" w:w="17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0E2E2C"/>
                <w:sz w:val="17"/>
                <w:szCs w:val="17"/>
              </w:rPr>
              <w:t xml:space="preserve">Observer</w:t>
            </w:r>
          </w:p>
        </w:tc>
        <w:tc>
          <w:tcPr>
            <w:tcW w:type="dxa" w:w="3232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80"/>
              <w:left w:type="dxa" w:w="150"/>
              <w:bottom w:type="dxa" w:w="80"/>
              <w:right w:type="dxa" w:w="150"/>
            </w:tcMar>
          </w:tcPr>
          <w:p/>
        </w:tc>
        <w:tc>
          <w:tcPr>
            <w:tcW w:type="dxa" w:w="17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0E2E2C"/>
                <w:sz w:val="17"/>
                <w:szCs w:val="17"/>
              </w:rPr>
              <w:t xml:space="preserve">Date and time</w:t>
            </w:r>
          </w:p>
        </w:tc>
        <w:tc>
          <w:tcPr>
            <w:tcW w:type="dxa" w:w="3232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80"/>
              <w:left w:type="dxa" w:w="150"/>
              <w:bottom w:type="dxa" w:w="80"/>
              <w:right w:type="dxa" w:w="150"/>
            </w:tcMar>
          </w:tcPr>
          <w:p/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0E2E2C"/>
                <w:sz w:val="17"/>
                <w:szCs w:val="17"/>
              </w:rPr>
              <w:t xml:space="preserve">Teacher and class</w:t>
            </w:r>
          </w:p>
        </w:tc>
        <w:tc>
          <w:tcPr>
            <w:tcW w:type="dxa" w:w="3232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80"/>
              <w:left w:type="dxa" w:w="150"/>
              <w:bottom w:type="dxa" w:w="80"/>
              <w:right w:type="dxa" w:w="150"/>
            </w:tcMar>
          </w:tcPr>
          <w:p/>
        </w:tc>
        <w:tc>
          <w:tcPr>
            <w:tcW w:type="dxa" w:w="17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0E2E2C"/>
                <w:sz w:val="17"/>
                <w:szCs w:val="17"/>
              </w:rPr>
              <w:t xml:space="preserve">Subject</w:t>
            </w:r>
          </w:p>
        </w:tc>
        <w:tc>
          <w:tcPr>
            <w:tcW w:type="dxa" w:w="3232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80"/>
              <w:left w:type="dxa" w:w="150"/>
              <w:bottom w:type="dxa" w:w="80"/>
              <w:right w:type="dxa" w:w="150"/>
            </w:tcMar>
          </w:tcPr>
          <w:p/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0E2E2C"/>
                <w:sz w:val="17"/>
                <w:szCs w:val="17"/>
              </w:rPr>
              <w:t xml:space="preserve">Lesson focus</w:t>
            </w:r>
          </w:p>
        </w:tc>
        <w:tc>
          <w:tcPr>
            <w:tcW w:type="dxa" w:w="3232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80"/>
              <w:left w:type="dxa" w:w="150"/>
              <w:bottom w:type="dxa" w:w="80"/>
              <w:right w:type="dxa" w:w="150"/>
            </w:tcMar>
          </w:tcPr>
          <w:p/>
        </w:tc>
        <w:tc>
          <w:tcPr>
            <w:tcW w:type="dxa" w:w="17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0E2E2C"/>
                <w:sz w:val="17"/>
                <w:szCs w:val="17"/>
              </w:rPr>
              <w:t xml:space="preserve">Length of visit</w:t>
            </w:r>
          </w:p>
        </w:tc>
        <w:tc>
          <w:tcPr>
            <w:tcW w:type="dxa" w:w="3232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80"/>
              <w:left w:type="dxa" w:w="150"/>
              <w:bottom w:type="dxa" w:w="80"/>
              <w:right w:type="dxa" w:w="150"/>
            </w:tcMar>
          </w:tcPr>
          <w:p/>
        </w:tc>
      </w:tr>
    </w:tbl>
    <w:p>
      <w:pPr>
        <w:pBdr>
          <w:bottom w:val="single" w:color="1F6E6A" w:sz="8"/>
        </w:pBdr>
        <w:spacing w:after="90" w:before="200"/>
      </w:pPr>
      <w:r>
        <w:rPr>
          <w:b/>
          <w:bCs/>
          <w:color w:val="1F6E6A"/>
          <w:sz w:val="24"/>
          <w:szCs w:val="24"/>
        </w:rPr>
        <w:t xml:space="preserve">1  </w:t>
      </w:r>
      <w:r>
        <w:rPr>
          <w:b/>
          <w:bCs/>
          <w:color w:val="1F2421"/>
          <w:sz w:val="24"/>
          <w:szCs w:val="24"/>
        </w:rPr>
        <w:t xml:space="preserve">Clarity of learning intentions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0"/>
        <w:gridCol w:w="5564"/>
      </w:tblGrid>
      <w:tr>
        <w:trPr>
          <w:cantSplit/>
          <w:trHeight w:val="1950" w:hRule="atLeast"/>
        </w:trPr>
        <w:tc>
          <w:tcPr>
            <w:tcW w:type="dxa" w:w="43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LOOK FOR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Students could say what they were learning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Students understood why it mattered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Students could see what success looks like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Learning intentions were clear, even if implicit</w:t>
            </w:r>
          </w:p>
        </w:tc>
        <w:tc>
          <w:tcPr>
            <w:tcW w:type="dxa" w:w="5564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NOTES AND EVIDENCE</w:t>
            </w:r>
          </w:p>
        </w:tc>
      </w:tr>
    </w:tbl>
    <w:p>
      <w:pPr>
        <w:pBdr>
          <w:bottom w:val="single" w:color="1F6E6A" w:sz="8"/>
        </w:pBdr>
        <w:spacing w:after="90" w:before="200"/>
      </w:pPr>
      <w:r>
        <w:rPr>
          <w:b/>
          <w:bCs/>
          <w:color w:val="1F6E6A"/>
          <w:sz w:val="24"/>
          <w:szCs w:val="24"/>
        </w:rPr>
        <w:t xml:space="preserve">2  </w:t>
      </w:r>
      <w:r>
        <w:rPr>
          <w:b/>
          <w:bCs/>
          <w:color w:val="1F2421"/>
          <w:sz w:val="24"/>
          <w:szCs w:val="24"/>
        </w:rPr>
        <w:t xml:space="preserve">Student engagement and focus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0"/>
        <w:gridCol w:w="5564"/>
      </w:tblGrid>
      <w:tr>
        <w:trPr>
          <w:cantSplit/>
          <w:trHeight w:val="1950" w:hRule="atLeast"/>
        </w:trPr>
        <w:tc>
          <w:tcPr>
            <w:tcW w:type="dxa" w:w="43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LOOK FOR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Purposeful independent work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Effective paired or group work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On-task discussion supporting learning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Students thinking hard about the right things</w:t>
            </w:r>
          </w:p>
        </w:tc>
        <w:tc>
          <w:tcPr>
            <w:tcW w:type="dxa" w:w="5564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NOTES AND EVIDENCE</w:t>
            </w:r>
          </w:p>
        </w:tc>
      </w:tr>
    </w:tbl>
    <w:p>
      <w:pPr>
        <w:pBdr>
          <w:bottom w:val="single" w:color="1F6E6A" w:sz="8"/>
        </w:pBdr>
        <w:spacing w:after="90" w:before="200"/>
      </w:pPr>
      <w:r>
        <w:rPr>
          <w:b/>
          <w:bCs/>
          <w:color w:val="1F6E6A"/>
          <w:sz w:val="24"/>
          <w:szCs w:val="24"/>
        </w:rPr>
        <w:t xml:space="preserve">3  </w:t>
      </w:r>
      <w:r>
        <w:rPr>
          <w:b/>
          <w:bCs/>
          <w:color w:val="1F2421"/>
          <w:sz w:val="24"/>
          <w:szCs w:val="24"/>
        </w:rPr>
        <w:t xml:space="preserve">Questioning and challenge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0"/>
        <w:gridCol w:w="5564"/>
      </w:tblGrid>
      <w:tr>
        <w:trPr>
          <w:cantSplit/>
          <w:trHeight w:val="1950" w:hRule="atLeast"/>
        </w:trPr>
        <w:tc>
          <w:tcPr>
            <w:tcW w:type="dxa" w:w="43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LOOK FOR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Open questions prompting thinking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Use of wait time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Students who did not volunteer were drawn in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Probing, follow-up questions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Students justifying their answers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A safe climate for mistakes</w:t>
            </w:r>
          </w:p>
        </w:tc>
        <w:tc>
          <w:tcPr>
            <w:tcW w:type="dxa" w:w="5564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NOTES AND EVIDENCE</w:t>
            </w:r>
          </w:p>
        </w:tc>
      </w:tr>
    </w:tbl>
    <w:p>
      <w:pPr>
        <w:sectPr>
          <w:footerReference w:type="default" r:id="rId6"/>
          <w:type w:val="nextPage"/>
          <w:pgSz w:w="11906" w:h="16838" w:orient="portrait"/>
          <w:pgMar w:top="907" w:right="1021" w:bottom="907" w:left="1021" w:header="454" w:footer="454" w:gutter="0"/>
          <w:pgNumType/>
          <w:docGrid w:linePitch="360"/>
        </w:sectPr>
      </w:pPr>
    </w:p>
    <w:p>
      <w:pPr>
        <w:pBdr>
          <w:bottom w:val="single" w:color="1F6E6A" w:sz="8"/>
        </w:pBdr>
        <w:spacing w:after="90" w:before="0"/>
      </w:pPr>
      <w:r>
        <w:rPr>
          <w:b/>
          <w:bCs/>
          <w:color w:val="1F6E6A"/>
          <w:sz w:val="24"/>
          <w:szCs w:val="24"/>
        </w:rPr>
        <w:t xml:space="preserve">4  </w:t>
      </w:r>
      <w:r>
        <w:rPr>
          <w:b/>
          <w:bCs/>
          <w:color w:val="1F2421"/>
          <w:sz w:val="24"/>
          <w:szCs w:val="24"/>
        </w:rPr>
        <w:t xml:space="preserve">Explanation and modelling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0"/>
        <w:gridCol w:w="5564"/>
      </w:tblGrid>
      <w:tr>
        <w:trPr>
          <w:cantSplit/>
          <w:trHeight w:val="1950" w:hRule="atLeast"/>
        </w:trPr>
        <w:tc>
          <w:tcPr>
            <w:tcW w:type="dxa" w:w="43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LOOK FOR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Clear explanations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Teacher thinking aloud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Worked examples used well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Analogies, diagrams or real-world examples</w:t>
            </w:r>
          </w:p>
        </w:tc>
        <w:tc>
          <w:tcPr>
            <w:tcW w:type="dxa" w:w="5564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NOTES AND EVIDENCE</w:t>
            </w:r>
          </w:p>
        </w:tc>
      </w:tr>
    </w:tbl>
    <w:p>
      <w:pPr>
        <w:pBdr>
          <w:bottom w:val="single" w:color="1F6E6A" w:sz="8"/>
        </w:pBdr>
        <w:spacing w:after="90" w:before="200"/>
      </w:pPr>
      <w:r>
        <w:rPr>
          <w:b/>
          <w:bCs/>
          <w:color w:val="1F6E6A"/>
          <w:sz w:val="24"/>
          <w:szCs w:val="24"/>
        </w:rPr>
        <w:t xml:space="preserve">5  </w:t>
      </w:r>
      <w:r>
        <w:rPr>
          <w:b/>
          <w:bCs/>
          <w:color w:val="1F2421"/>
          <w:sz w:val="24"/>
          <w:szCs w:val="24"/>
        </w:rPr>
        <w:t xml:space="preserve">Feedback and assessment for learning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0"/>
        <w:gridCol w:w="5564"/>
      </w:tblGrid>
      <w:tr>
        <w:trPr>
          <w:cantSplit/>
          <w:trHeight w:val="1950" w:hRule="atLeast"/>
        </w:trPr>
        <w:tc>
          <w:tcPr>
            <w:tcW w:type="dxa" w:w="43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LOOK FOR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Teacher circulating and checking understanding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Teaching adjusted in response to what checks reveal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Feedback acted on by students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Peer or self-assessment evident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Students aware of their next steps</w:t>
            </w:r>
          </w:p>
        </w:tc>
        <w:tc>
          <w:tcPr>
            <w:tcW w:type="dxa" w:w="5564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NOTES AND EVIDENCE</w:t>
            </w:r>
          </w:p>
        </w:tc>
      </w:tr>
    </w:tbl>
    <w:p>
      <w:pPr>
        <w:pBdr>
          <w:bottom w:val="single" w:color="1F6E6A" w:sz="8"/>
        </w:pBdr>
        <w:spacing w:after="90" w:before="200"/>
      </w:pPr>
      <w:r>
        <w:rPr>
          <w:b/>
          <w:bCs/>
          <w:color w:val="1F6E6A"/>
          <w:sz w:val="24"/>
          <w:szCs w:val="24"/>
        </w:rPr>
        <w:t xml:space="preserve">6  </w:t>
      </w:r>
      <w:r>
        <w:rPr>
          <w:b/>
          <w:bCs/>
          <w:color w:val="1F2421"/>
          <w:sz w:val="24"/>
          <w:szCs w:val="24"/>
        </w:rPr>
        <w:t xml:space="preserve">Independence and metacognition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0"/>
        <w:gridCol w:w="5564"/>
      </w:tblGrid>
      <w:tr>
        <w:trPr>
          <w:cantSplit/>
          <w:trHeight w:val="1950" w:hRule="atLeast"/>
        </w:trPr>
        <w:tc>
          <w:tcPr>
            <w:tcW w:type="dxa" w:w="43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LOOK FOR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Students explaining their thinking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Reflection on learning strategies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Appropriate scaffolding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Signs of resilience and problem-solving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Gradual release of responsibility</w:t>
            </w:r>
          </w:p>
        </w:tc>
        <w:tc>
          <w:tcPr>
            <w:tcW w:type="dxa" w:w="5564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NOTES AND EVIDENCE</w:t>
            </w:r>
          </w:p>
        </w:tc>
      </w:tr>
    </w:tbl>
    <w:p>
      <w:pPr>
        <w:pBdr>
          <w:bottom w:val="single" w:color="1F6E6A" w:sz="8"/>
        </w:pBdr>
        <w:spacing w:after="90" w:before="200"/>
      </w:pPr>
      <w:r>
        <w:rPr>
          <w:b/>
          <w:bCs/>
          <w:color w:val="1F6E6A"/>
          <w:sz w:val="24"/>
          <w:szCs w:val="24"/>
        </w:rPr>
        <w:t xml:space="preserve">7  </w:t>
      </w:r>
      <w:r>
        <w:rPr>
          <w:b/>
          <w:bCs/>
          <w:color w:val="1F2421"/>
          <w:sz w:val="24"/>
          <w:szCs w:val="24"/>
        </w:rPr>
        <w:t xml:space="preserve">Classroom culture and relationships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0"/>
        <w:gridCol w:w="5564"/>
      </w:tblGrid>
      <w:tr>
        <w:trPr>
          <w:cantSplit/>
          <w:trHeight w:val="1950" w:hRule="atLeast"/>
        </w:trPr>
        <w:tc>
          <w:tcPr>
            <w:tcW w:type="dxa" w:w="43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LOOK FOR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Positive, respectful relationships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Clear routines and expectations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Students confident to participate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A calm, purposeful environment</w:t>
            </w:r>
          </w:p>
        </w:tc>
        <w:tc>
          <w:tcPr>
            <w:tcW w:type="dxa" w:w="5564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NOTES AND EVIDENCE</w:t>
            </w:r>
          </w:p>
        </w:tc>
      </w:tr>
    </w:tbl>
    <w:p>
      <w:pPr>
        <w:pBdr>
          <w:bottom w:val="single" w:color="1F6E6A" w:sz="8"/>
        </w:pBdr>
        <w:spacing w:after="90" w:before="200"/>
      </w:pPr>
      <w:r>
        <w:rPr>
          <w:b/>
          <w:bCs/>
          <w:color w:val="1F6E6A"/>
          <w:sz w:val="24"/>
          <w:szCs w:val="24"/>
        </w:rPr>
        <w:t xml:space="preserve">8  </w:t>
      </w:r>
      <w:r>
        <w:rPr>
          <w:b/>
          <w:bCs/>
          <w:color w:val="1F2421"/>
          <w:sz w:val="24"/>
          <w:szCs w:val="24"/>
        </w:rPr>
        <w:t xml:space="preserve">Use of resources and technology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0"/>
        <w:gridCol w:w="5564"/>
      </w:tblGrid>
      <w:tr>
        <w:trPr>
          <w:cantSplit/>
          <w:trHeight w:val="1950" w:hRule="atLeast"/>
        </w:trPr>
        <w:tc>
          <w:tcPr>
            <w:tcW w:type="dxa" w:w="4300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shd w:fill="EAF3F1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LOOK FOR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Resources clearly supporting learning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Technology used where it helps learning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sz w:val="18"/>
                <w:szCs w:val="18"/>
              </w:rPr>
              <w:t xml:space="preserve">	Thoughtful use of visualisers, devices or materials</w:t>
            </w:r>
          </w:p>
        </w:tc>
        <w:tc>
          <w:tcPr>
            <w:tcW w:type="dxa" w:w="5564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NOTES AND EVIDENCE</w:t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907" w:right="1021" w:bottom="907" w:left="1021" w:header="454" w:footer="454" w:gutter="0"/>
          <w:pgNumType/>
          <w:docGrid w:linePitch="360"/>
        </w:sectPr>
      </w:pPr>
    </w:p>
    <w:p>
      <w:pPr>
        <w:pBdr>
          <w:bottom w:val="single" w:color="1F6E6A" w:sz="8"/>
        </w:pBdr>
        <w:spacing w:after="90" w:before="0"/>
      </w:pPr>
      <w:r>
        <w:rPr>
          <w:b/>
          <w:bCs/>
          <w:color w:val="1F2421"/>
          <w:sz w:val="24"/>
          <w:szCs w:val="24"/>
        </w:rPr>
        <w:t xml:space="preserve">Patterns and reflections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64"/>
      </w:tblGrid>
      <w:tr>
        <w:trPr>
          <w:cantSplit/>
          <w:trHeight w:val="4700" w:hRule="atLeast"/>
        </w:trPr>
        <w:tc>
          <w:tcPr>
            <w:tcW w:type="dxa" w:w="9864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ACROSS THE VISIT, WHAT STOOD OUT?</w:t>
            </w:r>
          </w:p>
        </w:tc>
      </w:tr>
    </w:tbl>
    <w:p>
      <w:pPr>
        <w:pBdr>
          <w:bottom w:val="single" w:color="1F6E6A" w:sz="8"/>
        </w:pBdr>
        <w:spacing w:after="90" w:before="200"/>
      </w:pPr>
      <w:r>
        <w:rPr>
          <w:b/>
          <w:bCs/>
          <w:color w:val="1F2421"/>
          <w:sz w:val="24"/>
          <w:szCs w:val="24"/>
        </w:rPr>
        <w:t xml:space="preserve">The conversation afterwards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64"/>
      </w:tblGrid>
      <w:tr>
        <w:trPr>
          <w:cantSplit/>
          <w:trHeight w:val="6900" w:hRule="atLeast"/>
        </w:trPr>
        <w:tc>
          <w:tcPr>
            <w:tcW w:type="dxa" w:w="9864"/>
            <w:tcBorders>
              <w:top w:val="single" w:color="A6D5CF" w:sz="4"/>
              <w:left w:val="single" w:color="A6D5CF" w:sz="4"/>
              <w:bottom w:val="single" w:color="A6D5CF" w:sz="4"/>
              <w:right w:val="single" w:color="A6D5CF" w:sz="4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70"/>
            </w:pPr>
            <w:r>
              <w:rPr>
                <w:b/>
                <w:bCs/>
                <w:color w:val="1F6E6A"/>
                <w:spacing w:val="10"/>
                <w:sz w:val="14"/>
                <w:szCs w:val="14"/>
              </w:rPr>
              <w:t xml:space="preserve">WHAT YOU AGREED TOGETHER</w:t>
            </w:r>
          </w:p>
          <w:p>
            <w:pPr>
              <w:spacing w:after="50"/>
            </w:pPr>
            <w:r>
              <w:rPr>
                <w:i/>
                <w:iCs/>
                <w:color w:val="5E6663"/>
                <w:sz w:val="18"/>
                <w:szCs w:val="18"/>
              </w:rPr>
              <w:t xml:space="preserve">Questions you might ask: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i/>
                <w:iCs/>
                <w:color w:val="5E6663"/>
                <w:sz w:val="18"/>
                <w:szCs w:val="18"/>
              </w:rPr>
              <w:t xml:space="preserve">	What did you want students to learn, and how did you know whether they had?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i/>
                <w:iCs/>
                <w:color w:val="5E6663"/>
                <w:sz w:val="18"/>
                <w:szCs w:val="18"/>
              </w:rPr>
              <w:t xml:space="preserve">	When were they thinking hardest, and what were you doing at that moment?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i/>
                <w:iCs/>
                <w:color w:val="5E6663"/>
                <w:sz w:val="18"/>
                <w:szCs w:val="18"/>
              </w:rPr>
              <w:t xml:space="preserve">	What is one thing worth keeping, and one worth trying differently?</w:t>
            </w:r>
          </w:p>
          <w:p>
            <w:pPr>
              <w:tabs>
                <w:tab w:val="left" w:pos="240"/>
              </w:tabs>
              <w:spacing w:after="30"/>
              <w:ind w:left="240" w:hanging="240"/>
            </w:pPr>
            <w:r>
              <w:rPr>
                <w:b/>
                <w:bCs/>
                <w:color w:val="1F6E6A"/>
                <w:sz w:val="18"/>
                <w:szCs w:val="18"/>
              </w:rPr>
              <w:t xml:space="preserve">–</w:t>
            </w:r>
            <w:r>
              <w:rPr>
                <w:i/>
                <w:iCs/>
                <w:color w:val="5E6663"/>
                <w:sz w:val="18"/>
                <w:szCs w:val="18"/>
              </w:rPr>
              <w:t xml:space="preserve">	What might you try next, and how can I help?</w:t>
            </w:r>
          </w:p>
        </w:tc>
      </w:tr>
    </w:tbl>
    <w:p>
      <w:pPr>
        <w:spacing w:before="260"/>
      </w:pPr>
      <w:r>
        <w:rPr>
          <w:b/>
          <w:bCs/>
          <w:color w:val="1F6E6A"/>
          <w:sz w:val="19"/>
          <w:szCs w:val="19"/>
        </w:rPr>
        <w:t xml:space="preserve">Afterwards.  </w:t>
      </w:r>
      <w:r>
        <w:rPr>
          <w:color w:val="1F2421"/>
          <w:sz w:val="19"/>
          <w:szCs w:val="19"/>
        </w:rPr>
        <w:t xml:space="preserve">Share these notes with the teacher, and keep them with your notes from earlier visits so that patterns show.</w:t>
      </w:r>
    </w:p>
    <w:sectPr>
      <w:footerReference w:type="default" r:id="rId8"/>
      <w:type w:val="nextPage"/>
      <w:pgSz w:w="11906" w:h="16838" w:orient="portrait"/>
      <w:pgMar w:top="907" w:right="1021" w:bottom="907" w:left="1021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864"/>
      </w:tabs>
    </w:pPr>
    <w:r>
      <w:rPr>
        <w:color w:val="5E6663"/>
        <w:sz w:val="15"/>
        <w:szCs w:val="15"/>
      </w:rPr>
      <w:t xml:space="preserve">© José Picardo, Azimuth · hello@azimuth.org.uk</w:t>
    </w:r>
    <w:r>
      <w:rPr>
        <w:color w:val="5E6663"/>
        <w:sz w:val="15"/>
        <w:szCs w:val="15"/>
      </w:rPr>
      <w:t xml:space="preserve">	</w:t>
    </w:r>
    <w:r>
      <w:rPr>
        <w:color w:val="5E6663"/>
        <w:sz w:val="15"/>
        <w:szCs w:val="15"/>
      </w:rPr>
      <w:fldChar w:fldCharType="begin"/>
    </w:r>
    <w:r>
      <w:rPr>
        <w:color w:val="5E6663"/>
        <w:sz w:val="15"/>
        <w:szCs w:val="15"/>
      </w:rPr>
      <w:instrText xml:space="preserve">PAGE</w:instrText>
    </w:r>
    <w:r>
      <w:rPr>
        <w:color w:val="5E6663"/>
        <w:sz w:val="15"/>
        <w:szCs w:val="15"/>
      </w:rPr>
      <w:fldChar w:fldCharType="separate"/>
    </w:r>
    <w:r>
      <w:rPr>
        <w:color w:val="5E6663"/>
        <w:sz w:val="15"/>
        <w:szCs w:val="15"/>
      </w:rPr>
      <w:fldChar w:fldCharType="end"/>
    </w:r>
    <w:r>
      <w:rPr>
        <w:color w:val="5E6663"/>
        <w:sz w:val="15"/>
        <w:szCs w:val="15"/>
      </w:rPr>
      <w:t xml:space="preserve"> of </w:t>
    </w:r>
    <w:r>
      <w:rPr>
        <w:color w:val="5E6663"/>
        <w:sz w:val="15"/>
        <w:szCs w:val="15"/>
      </w:rPr>
      <w:fldChar w:fldCharType="begin"/>
    </w:r>
    <w:r>
      <w:rPr>
        <w:color w:val="5E6663"/>
        <w:sz w:val="15"/>
        <w:szCs w:val="15"/>
      </w:rPr>
      <w:instrText xml:space="preserve">NUMPAGES</w:instrText>
    </w:r>
    <w:r>
      <w:rPr>
        <w:color w:val="5E6663"/>
        <w:sz w:val="15"/>
        <w:szCs w:val="15"/>
      </w:rPr>
      <w:fldChar w:fldCharType="separate"/>
    </w:r>
    <w:r>
      <w:rPr>
        <w:color w:val="5E6663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864"/>
      </w:tabs>
    </w:pPr>
    <w:r>
      <w:rPr>
        <w:color w:val="5E6663"/>
        <w:sz w:val="15"/>
        <w:szCs w:val="15"/>
      </w:rPr>
      <w:t xml:space="preserve">© José Picardo, Azimuth · hello@azimuth.org.uk</w:t>
    </w:r>
    <w:r>
      <w:rPr>
        <w:color w:val="5E6663"/>
        <w:sz w:val="15"/>
        <w:szCs w:val="15"/>
      </w:rPr>
      <w:t xml:space="preserve">	</w:t>
    </w:r>
    <w:r>
      <w:rPr>
        <w:color w:val="5E6663"/>
        <w:sz w:val="15"/>
        <w:szCs w:val="15"/>
      </w:rPr>
      <w:fldChar w:fldCharType="begin"/>
    </w:r>
    <w:r>
      <w:rPr>
        <w:color w:val="5E6663"/>
        <w:sz w:val="15"/>
        <w:szCs w:val="15"/>
      </w:rPr>
      <w:instrText xml:space="preserve">PAGE</w:instrText>
    </w:r>
    <w:r>
      <w:rPr>
        <w:color w:val="5E6663"/>
        <w:sz w:val="15"/>
        <w:szCs w:val="15"/>
      </w:rPr>
      <w:fldChar w:fldCharType="separate"/>
    </w:r>
    <w:r>
      <w:rPr>
        <w:color w:val="5E6663"/>
        <w:sz w:val="15"/>
        <w:szCs w:val="15"/>
      </w:rPr>
      <w:fldChar w:fldCharType="end"/>
    </w:r>
    <w:r>
      <w:rPr>
        <w:color w:val="5E6663"/>
        <w:sz w:val="15"/>
        <w:szCs w:val="15"/>
      </w:rPr>
      <w:t xml:space="preserve"> of </w:t>
    </w:r>
    <w:r>
      <w:rPr>
        <w:color w:val="5E6663"/>
        <w:sz w:val="15"/>
        <w:szCs w:val="15"/>
      </w:rPr>
      <w:fldChar w:fldCharType="begin"/>
    </w:r>
    <w:r>
      <w:rPr>
        <w:color w:val="5E6663"/>
        <w:sz w:val="15"/>
        <w:szCs w:val="15"/>
      </w:rPr>
      <w:instrText xml:space="preserve">NUMPAGES</w:instrText>
    </w:r>
    <w:r>
      <w:rPr>
        <w:color w:val="5E6663"/>
        <w:sz w:val="15"/>
        <w:szCs w:val="15"/>
      </w:rPr>
      <w:fldChar w:fldCharType="separate"/>
    </w:r>
    <w:r>
      <w:rPr>
        <w:color w:val="5E6663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864"/>
      </w:tabs>
    </w:pPr>
    <w:r>
      <w:rPr>
        <w:color w:val="5E6663"/>
        <w:sz w:val="15"/>
        <w:szCs w:val="15"/>
      </w:rPr>
      <w:t xml:space="preserve">© José Picardo, Azimuth · hello@azimuth.org.uk</w:t>
    </w:r>
    <w:r>
      <w:rPr>
        <w:color w:val="5E6663"/>
        <w:sz w:val="15"/>
        <w:szCs w:val="15"/>
      </w:rPr>
      <w:t xml:space="preserve">	</w:t>
    </w:r>
    <w:r>
      <w:rPr>
        <w:color w:val="5E6663"/>
        <w:sz w:val="15"/>
        <w:szCs w:val="15"/>
      </w:rPr>
      <w:fldChar w:fldCharType="begin"/>
    </w:r>
    <w:r>
      <w:rPr>
        <w:color w:val="5E6663"/>
        <w:sz w:val="15"/>
        <w:szCs w:val="15"/>
      </w:rPr>
      <w:instrText xml:space="preserve">PAGE</w:instrText>
    </w:r>
    <w:r>
      <w:rPr>
        <w:color w:val="5E6663"/>
        <w:sz w:val="15"/>
        <w:szCs w:val="15"/>
      </w:rPr>
      <w:fldChar w:fldCharType="separate"/>
    </w:r>
    <w:r>
      <w:rPr>
        <w:color w:val="5E6663"/>
        <w:sz w:val="15"/>
        <w:szCs w:val="15"/>
      </w:rPr>
      <w:fldChar w:fldCharType="end"/>
    </w:r>
    <w:r>
      <w:rPr>
        <w:color w:val="5E6663"/>
        <w:sz w:val="15"/>
        <w:szCs w:val="15"/>
      </w:rPr>
      <w:t xml:space="preserve"> of </w:t>
    </w:r>
    <w:r>
      <w:rPr>
        <w:color w:val="5E6663"/>
        <w:sz w:val="15"/>
        <w:szCs w:val="15"/>
      </w:rPr>
      <w:fldChar w:fldCharType="begin"/>
    </w:r>
    <w:r>
      <w:rPr>
        <w:color w:val="5E6663"/>
        <w:sz w:val="15"/>
        <w:szCs w:val="15"/>
      </w:rPr>
      <w:instrText xml:space="preserve">NUMPAGES</w:instrText>
    </w:r>
    <w:r>
      <w:rPr>
        <w:color w:val="5E6663"/>
        <w:sz w:val="15"/>
        <w:szCs w:val="15"/>
      </w:rPr>
      <w:fldChar w:fldCharType="separate"/>
    </w:r>
    <w:r>
      <w:rPr>
        <w:color w:val="5E66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421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221105934ca574f9326f281f5e1d61e40836599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walk notes</dc:title>
  <dc:creator>José Picardo, Azimuth</dc:creator>
  <cp:lastModifiedBy>Un-named</cp:lastModifiedBy>
  <cp:revision>1</cp:revision>
  <dcterms:created xsi:type="dcterms:W3CDTF">2026-10-28T05:45:18.085Z</dcterms:created>
  <dcterms:modified xsi:type="dcterms:W3CDTF">2026-10-28T05:45:18.090Z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